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a3937ea101c442a" /><Relationship Type="http://schemas.openxmlformats.org/package/2006/relationships/metadata/core-properties" Target="/package/services/metadata/core-properties/a8c515428142415289457e6dbd031075.psmdcp" Id="R26f8482ec959429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«Гематология»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Кучма Галина Борисовна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Сайфутдинов Рустам Ильхамович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обучающихся профессиональных знаний и практических умений в области смежной с трансфузиологией дисциплины - гематологии, необходимых для развития широкого медицинского и научного мировоззрения и способностей компетентно функционировать при решении смежных проблем.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-формирование знаний о гематологии, воздействиях социальных условий и факторов внешней среды на здоровье населения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-овладение знаниями по гематологии, стратегии и тактике здравоохранения, совершенствованию медицинской помощи населению.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-овладение современными технологиями деятельности в сфере гематологии.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-приобретение специальных знаний в области гематологии;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-освоение современных технологий диагностики, профилактики и лечения ряда заболеваний и состояний в области гематологии, необходимых в практической работе трансфузиолога.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-обеспечение личностно-профессионального роста обучающегося, необходимого для его самореализации и для его эффективной профессиональной деятельности.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клинические проявления гематологических заболеваний (анемии, гемобластозы, геморрагические диатезы)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Поставить диагноз гематологического заболевания в соответствие с МКБ Х и современной классификацией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трансфузионной терапии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принципы лечения гематологических заболеваний. Особенности трансфузионной терапии при гематологической патологии.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Уметь подобрать адекватный метод заместительной терапии препаратами крови и кровезаменителями при различных гематологических заболеваниях.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Гематология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Общие вопросы гематологии. Основные методы исследования в клинической гематологии.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Анемии классификация, диагностика, принципы терапии. Особенности гемотрансфузионной терапии.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Острые лейкозы, классификация, диагностика, принципы терапии. Особенности гемотрансфузионной терапии.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Хронические лейкозы, классификация, диагностика, принципы терапии. Особенности гемотрансфузионной терапии.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Парапротеинемические гемобластозы, диагностика, принципы терапии. Особенности гемотрансфузионной терапии.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Геморрагические диатезы, обусловленные патологией в сосудисто-тромбоцитарном звене гемостаза,диагностика, принципы терапии. Особенности гемотрансфузионной терапии.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Геморрагические диатезы, обусловленные патологией в плазменном звене гемостаза, диагностика, принципы терапии. Особенности гемотрансфузионной терапии.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Рукавицын О.А., Гематология : национальное руководство [Электронный ресурс] / под ред. О. А. Рукавицына - М. : ГЭОТАР-Медиа, 2017. - 784 с. - ISBN 978-5-9704-4199-2 - Режим доступа: https://www.rosmedlib.ru/book/ISBN9785970441992.html 1 (ЭУ)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Стуклов Н.И., Физиология и патология гемостаза [Электронный ресурс] : учеб. пособие / под ред. Н.И. Стуклова. - М. : ГЭОТАР-Медиа, 2016. - 112 с. (Серия "Библиотека врача-специалиста") - ISBN 978-5-9704-3625-7 - Режим доступа: https://www.rosmedlib.ru/book/ISBN9785970436257.html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Румянцев А.Г., Гемофилия в практике врачей различных специальностей : руководство [Электронный ресурс] / Румянцев А.Г., Румянцев С.А., Чернов В.М - М. : ГЭОТАР-Медиа, 2013. - 136 с. (Серия "Библиотека врача-специалиста") - ISBN 978-5-9704-2347-9 - Режим доступа: https://www.rosmedlib.ru/book/ISBN9785970423479.html 1 (ЭУ)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Давыдкин И.Л., Болезни крови в амбулаторной практике: руководство [Электронный ресурс] / И. Л. Давыдкин, И. В. Куртов, Р. К. Хайретдинов [и др.] - М. : ГЭОТАР-Медиа, 2014. - 184 с. - ISBN 978-5-9704-2725-5 - Режим доступа: https://www.rosmedlib.ru/book/ISBN9785970427255.html 1 (ЭУ)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Рукавицын О.А., Анемии. Краткое руководство для практических врачей всех специальностей [Электронный ресурс] / Рукавицын О.А. - М. : ГЭОТАР-Медиа, 2018. - 176 с. - ISBN 978-5-9704-4475-7 - Режим доступа: https://www.rosmedlib.ru/book/ISBN9785970444757.html 1 (ЭУ)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заболеваний и причин смерти МКБ-10 https://mkb-10.com/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Сайт РНМОТ "Российское научное медицинское общество терапевтов" https://www.rnmot.ru/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Интернист - Всероссийская Образовательная научно-информационная система https://internist.ru/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Сайт ГНЦ РАН https:// www.hematology.ru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460024 Оренбургская область, г.Оренбург,ул.Аксакова/ Ст.Разина,23/92 Государственное бюджетное учреждение здравоохранения «Оренбургская областная клиническая больница» комната №515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18 посадочных мест, 10 столов, 19 стульев, мультимедийный комплекс – видеопроектор, экран, ноутбук; плакаты, стенды.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